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49FB" w14:textId="77777777" w:rsidR="00CC205F" w:rsidRPr="00B86CF0" w:rsidRDefault="00CC205F" w:rsidP="00CC2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6CF0">
        <w:rPr>
          <w:rFonts w:ascii="Times New Roman" w:hAnsi="Times New Roman" w:cs="Times New Roman"/>
          <w:sz w:val="28"/>
          <w:szCs w:val="28"/>
          <w:lang w:val="kk-KZ"/>
        </w:rPr>
        <w:t>11 Дәріс Еңбек ресурстары нәтижелерін бағалау</w:t>
      </w:r>
    </w:p>
    <w:p w14:paraId="34FAE10D" w14:textId="77777777" w:rsidR="00CC205F" w:rsidRPr="00CC205F" w:rsidRDefault="00CC205F" w:rsidP="00CC205F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Сұрақтар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>:</w:t>
      </w:r>
    </w:p>
    <w:p w14:paraId="17987269" w14:textId="77777777" w:rsidR="00CC205F" w:rsidRPr="00CC205F" w:rsidRDefault="00CC205F" w:rsidP="00CC205F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C205F">
        <w:rPr>
          <w:rFonts w:ascii="Times New Roman" w:hAnsi="Times New Roman" w:cs="Times New Roman"/>
          <w:sz w:val="36"/>
          <w:szCs w:val="36"/>
          <w:lang w:val="kk-KZ"/>
        </w:rPr>
        <w:t>Еңбек ресурстары нәтижелерін бағалау</w:t>
      </w:r>
    </w:p>
    <w:p w14:paraId="4E69F2F2" w14:textId="77777777" w:rsidR="00CC205F" w:rsidRPr="00CC205F" w:rsidRDefault="00CC205F" w:rsidP="00CC205F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Қызметкерлердің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еңбегін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бағалау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әдістері</w:t>
      </w:r>
      <w:proofErr w:type="spellEnd"/>
    </w:p>
    <w:p w14:paraId="519A0EB8" w14:textId="77777777" w:rsidR="00CC205F" w:rsidRPr="00CC205F" w:rsidRDefault="00CC205F" w:rsidP="00CC205F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сапасын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бағалау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ұжымдары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жекелеген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орындаушылар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жұмысынын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1,0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желерін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салыстыру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материалдық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ағлақтык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ынталан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мақсатымен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олардың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қызметінің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сапалық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нәтижелерін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анықтау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тәсіл</w:t>
      </w:r>
      <w:proofErr w:type="spellEnd"/>
    </w:p>
    <w:p w14:paraId="1E339CC3" w14:textId="77777777" w:rsidR="00CC205F" w:rsidRPr="00CC205F" w:rsidRDefault="00CC205F" w:rsidP="00CC205F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Жұмыс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орындарын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жағдайлары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аттестаттау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объектілердің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қауіпсіздік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жағдайын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зияндылығын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ауырлығын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оларда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орындалатын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жұмыстардың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қарқындылығын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гигиенасын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анықтау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ортасы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жағдайларының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жағдайларының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стандарттарға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сәйкестігін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анықтау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мақсатындағы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қызмет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қауіпсіздік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еңбекті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қорғау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саласы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>.</w:t>
      </w:r>
    </w:p>
    <w:p w14:paraId="19FB2CFB" w14:textId="77777777" w:rsidR="00CC205F" w:rsidRPr="00CC205F" w:rsidRDefault="00CC205F" w:rsidP="00CC205F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Республикасының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кодексі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жұмыс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берушілерді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қызметкерлер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өкілдерінің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қатысуымен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мерзімді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бірақ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кемінде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бес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жылда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рет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объектілерді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жағдайлары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аттестаттаудан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өткізуге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міндеттейді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кодексінің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182-бабы 2-тармағының 12-тармағы).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Республикасының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Кодексі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>).</w:t>
      </w:r>
    </w:p>
    <w:p w14:paraId="53F96875" w14:textId="77777777" w:rsidR="00CC205F" w:rsidRPr="00CC205F" w:rsidRDefault="00CC205F" w:rsidP="00CC205F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Баптың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1-тармағына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сәйкес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Республикасының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кодексінің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183-бабына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сәйкес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объектілер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жағдайлары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міндетті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мерзімдік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аттестаттауға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жатады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>.</w:t>
      </w:r>
    </w:p>
    <w:p w14:paraId="22293117" w14:textId="68352ECA" w:rsidR="00CC205F" w:rsidRPr="00CC205F" w:rsidRDefault="00CC205F" w:rsidP="00CC205F">
      <w:pPr>
        <w:jc w:val="both"/>
        <w:rPr>
          <w:rFonts w:ascii="Times New Roman" w:hAnsi="Times New Roman" w:cs="Times New Roman"/>
          <w:sz w:val="36"/>
          <w:szCs w:val="36"/>
        </w:rPr>
      </w:pPr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Денсаулық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сақтау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әлеуметтік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даму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министрінің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2015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28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желтоқсандағы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No 1057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бұйрығымен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бекітілген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объектілерді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жағдайлары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міндетті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мерзімдік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аттестаттаудан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өткізу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қағидаларының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1-бабының 2-тармағында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көрсетілген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lastRenderedPageBreak/>
        <w:t>өндірістік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объектілерге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өнім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өндірумен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өндірумен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пайдалы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қазбаларды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игерумен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өндірумен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қайта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өңдеумен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құрылыспен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қызметтің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басқа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түрлерімен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айналысатын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цехтар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учаскелер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басқа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дербес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бөлімшелер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жатады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>.</w:t>
      </w:r>
    </w:p>
    <w:p w14:paraId="214CF801" w14:textId="77777777" w:rsidR="00CC205F" w:rsidRPr="00CC205F" w:rsidRDefault="00CC205F" w:rsidP="00CC205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0D2FE21" w14:textId="77777777" w:rsidR="00CC205F" w:rsidRPr="00CC205F" w:rsidRDefault="00CC205F" w:rsidP="00CC205F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қызметтің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өзге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түрлері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олардың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жұмыс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істеуін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қамтамасыз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ететін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қосалқы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бөлімшелері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есептеу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орталықтары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жөндеу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шеберханалары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қазандықтар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қоймалар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басқа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техникалық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қызметтер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) бар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қызмет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көрсету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саласындағы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денсаулық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сақтаудағы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білім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берудегі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ұйымдар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Тиісінше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бөлімшелер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жағдайлары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жұмыс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орындарын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аттестациялауға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C205F">
        <w:rPr>
          <w:rFonts w:ascii="Times New Roman" w:hAnsi="Times New Roman" w:cs="Times New Roman"/>
          <w:sz w:val="36"/>
          <w:szCs w:val="36"/>
        </w:rPr>
        <w:t>жатады</w:t>
      </w:r>
      <w:proofErr w:type="spellEnd"/>
      <w:r w:rsidRPr="00CC205F">
        <w:rPr>
          <w:rFonts w:ascii="Times New Roman" w:hAnsi="Times New Roman" w:cs="Times New Roman"/>
          <w:sz w:val="36"/>
          <w:szCs w:val="36"/>
        </w:rPr>
        <w:t xml:space="preserve"> (65-бап). 1 ҚР ТК).</w:t>
      </w:r>
    </w:p>
    <w:p w14:paraId="596C0191" w14:textId="77777777" w:rsidR="00CC205F" w:rsidRPr="00CC205F" w:rsidRDefault="00CC205F" w:rsidP="00CC205F">
      <w:pPr>
        <w:spacing w:line="256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Қазақстанда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өндірістік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объектілерді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еңбек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жағдайлары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бойынша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аттестаттауды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өндірістік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объектілерді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аттестаттау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жөніндегі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мамандандырылған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ұйымдар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мерзімді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түрде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кемінде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бес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жылда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бір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рет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жүргізеді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Қазақстан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Республикасы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Еңбек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кодексінің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183-бабының 2-тармағы).</w:t>
      </w:r>
    </w:p>
    <w:p w14:paraId="1F84FFC1" w14:textId="77777777" w:rsidR="00CC205F" w:rsidRPr="00CC205F" w:rsidRDefault="00CC205F" w:rsidP="00CC205F">
      <w:pPr>
        <w:spacing w:line="256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Мамандандырылған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ұйымдардың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тізімі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Қазақстан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Республикасы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Еңбек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және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халықты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әлеуметтік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қорғау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министрлігінің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интернет-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ресурсында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орналастырылған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14:paraId="4C544E0D" w14:textId="77777777" w:rsidR="00CC205F" w:rsidRPr="00CC205F" w:rsidRDefault="00CC205F" w:rsidP="00CC205F">
      <w:pPr>
        <w:spacing w:line="256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94338BD" w14:textId="77777777" w:rsidR="00CC205F" w:rsidRPr="00CC205F" w:rsidRDefault="00CC205F" w:rsidP="00CC205F">
      <w:pPr>
        <w:spacing w:line="256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Құрылысты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бағалаудың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қазақстандық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орталығының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мамандары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заңнамалық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актілердің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талаптарына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толық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сәйкестікте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аттестаттауды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жүргізеді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және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аяқталғаннан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кейін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қателерді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жою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және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еңбек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жағдайын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жақсарту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бойынша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құжаттар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пакетін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және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пайдалы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практикалық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ұсыныстар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тізімін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әзірлейді</w:t>
      </w:r>
      <w:proofErr w:type="spellEnd"/>
      <w:r w:rsidRPr="00CC205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14:paraId="15D0BD35" w14:textId="77777777" w:rsidR="00D81716" w:rsidRPr="00D81716" w:rsidRDefault="00B87700" w:rsidP="00D81716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0"/>
          <w:szCs w:val="20"/>
          <w:lang w:val="kk-KZ"/>
          <w14:ligatures w14:val="standardContextual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Hlk146370480"/>
      <w:r w:rsidR="00D81716" w:rsidRPr="00D81716">
        <w:rPr>
          <w:rFonts w:ascii="Times New Roman" w:hAnsi="Times New Roman" w:cs="Times New Roman"/>
          <w:b/>
          <w:bCs/>
          <w:kern w:val="2"/>
          <w:sz w:val="20"/>
          <w:szCs w:val="20"/>
          <w:lang w:val="kk-KZ"/>
          <w14:ligatures w14:val="standardContextual"/>
        </w:rPr>
        <w:t>Негізгі әдебиеттер:</w:t>
      </w:r>
    </w:p>
    <w:p w14:paraId="03F75E5E" w14:textId="77777777" w:rsidR="00D81716" w:rsidRPr="00D81716" w:rsidRDefault="00D81716" w:rsidP="00D81716">
      <w:pPr>
        <w:spacing w:after="0"/>
        <w:rPr>
          <w:sz w:val="20"/>
          <w:szCs w:val="20"/>
          <w:lang w:val="kk-KZ"/>
        </w:rPr>
      </w:pPr>
      <w:bookmarkStart w:id="1" w:name="_Hlk176512149"/>
      <w:r w:rsidRPr="00D81716"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lastRenderedPageBreak/>
        <w:t>1.</w:t>
      </w:r>
      <w:r w:rsidRPr="00D8171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</w:t>
      </w:r>
      <w:r w:rsidRPr="00D8171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43EBF3E5" w14:textId="77777777" w:rsidR="00D81716" w:rsidRPr="00D81716" w:rsidRDefault="00D81716" w:rsidP="00D8171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D8171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DF8776D" w14:textId="77777777" w:rsidR="00D81716" w:rsidRPr="00D81716" w:rsidRDefault="00D81716" w:rsidP="00D8171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D8171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D81716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D81716">
        <w:rPr>
          <w:kern w:val="2"/>
          <w:sz w:val="22"/>
          <w:szCs w:val="22"/>
          <w14:ligatures w14:val="standardContextual"/>
        </w:rPr>
        <w:fldChar w:fldCharType="begin"/>
      </w:r>
      <w:r w:rsidRPr="00D81716">
        <w:rPr>
          <w:kern w:val="2"/>
          <w:sz w:val="22"/>
          <w:szCs w:val="22"/>
          <w14:ligatures w14:val="standardContextual"/>
        </w:rPr>
        <w:instrText>HYPERLINK "http://www.adilet.zan.kz"</w:instrText>
      </w:r>
      <w:r w:rsidRPr="00D81716">
        <w:rPr>
          <w:kern w:val="2"/>
          <w:sz w:val="22"/>
          <w:szCs w:val="22"/>
          <w14:ligatures w14:val="standardContextual"/>
        </w:rPr>
      </w:r>
      <w:r w:rsidRPr="00D81716">
        <w:rPr>
          <w:kern w:val="2"/>
          <w:sz w:val="22"/>
          <w:szCs w:val="22"/>
          <w14:ligatures w14:val="standardContextual"/>
        </w:rPr>
        <w:fldChar w:fldCharType="separate"/>
      </w:r>
      <w:r w:rsidRPr="00D81716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  <w:lang w:val="kk-KZ" w:eastAsia="kk-KZ"/>
        </w:rPr>
        <w:t>www.adilet.zan.kz</w:t>
      </w:r>
      <w:r w:rsidRPr="00D81716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  <w:lang w:val="kk-KZ" w:eastAsia="kk-KZ"/>
        </w:rPr>
        <w:fldChar w:fldCharType="end"/>
      </w:r>
    </w:p>
    <w:p w14:paraId="500A6544" w14:textId="77777777" w:rsidR="00D81716" w:rsidRPr="00D81716" w:rsidRDefault="00D81716" w:rsidP="00D8171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D81716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D8171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D81716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9DBC549" w14:textId="77777777" w:rsidR="00D81716" w:rsidRPr="00D81716" w:rsidRDefault="00D81716" w:rsidP="00D8171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8171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F2C445B" w14:textId="77777777" w:rsidR="00D81716" w:rsidRPr="00D81716" w:rsidRDefault="00D81716" w:rsidP="00D8171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8171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04731CD" w14:textId="77777777" w:rsidR="00D81716" w:rsidRPr="00D81716" w:rsidRDefault="00D81716" w:rsidP="00D8171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D81716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64E37AC" w14:textId="77777777" w:rsidR="00D81716" w:rsidRPr="00D81716" w:rsidRDefault="00D81716" w:rsidP="00D8171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8171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1"/>
    <w:p w14:paraId="61BAB625" w14:textId="77777777" w:rsidR="00D81716" w:rsidRPr="00D81716" w:rsidRDefault="00D81716" w:rsidP="00D81716">
      <w:pPr>
        <w:spacing w:after="0"/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:lang w:val="kk-KZ"/>
          <w14:ligatures w14:val="standardContextual"/>
        </w:rPr>
      </w:pPr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9. </w:t>
      </w:r>
      <w:proofErr w:type="spellStart"/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Асалиев</w:t>
      </w:r>
      <w:proofErr w:type="spellEnd"/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А.М., </w:t>
      </w:r>
      <w:proofErr w:type="spellStart"/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Вукович</w:t>
      </w:r>
      <w:proofErr w:type="spellEnd"/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Г.Г., </w:t>
      </w:r>
      <w:proofErr w:type="spellStart"/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Строителева</w:t>
      </w:r>
      <w:proofErr w:type="spellEnd"/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Т.Г</w:t>
      </w:r>
      <w:r w:rsidRPr="00D81716">
        <w:rPr>
          <w:rFonts w:ascii="Verdana" w:eastAsiaTheme="majorEastAsia" w:hAnsi="Verdana" w:cstheme="majorBidi"/>
          <w:color w:val="222222"/>
          <w:kern w:val="2"/>
          <w:shd w:val="clear" w:color="auto" w:fill="FFFFFF"/>
          <w14:ligatures w14:val="standardContextual"/>
        </w:rPr>
        <w:t>.</w:t>
      </w:r>
      <w:r w:rsidRPr="00D81716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Экономика и управление человеческими ресурсами</w:t>
      </w:r>
      <w:r w:rsidRPr="00D81716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</w:rPr>
        <w:t>-</w:t>
      </w:r>
      <w:r w:rsidRPr="00D81716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 М.: НИЦ ИНФРА-М, 2024. -143 с.</w:t>
      </w:r>
    </w:p>
    <w:p w14:paraId="52EAA286" w14:textId="77777777" w:rsidR="00D81716" w:rsidRPr="00D81716" w:rsidRDefault="00D81716" w:rsidP="00D81716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10. Горелов Н.А. У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правление человеческими ресурсами: стратегии и инновации : учебник и практикум для вузов 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– М.:  Юрайт, 2024.- 309 с.</w:t>
      </w:r>
    </w:p>
    <w:p w14:paraId="0E69DCE7" w14:textId="77777777" w:rsidR="00D81716" w:rsidRPr="00D81716" w:rsidRDefault="00D81716" w:rsidP="00D81716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kk-KZ"/>
        </w:rPr>
      </w:pPr>
      <w:r w:rsidRPr="00D817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11. </w:t>
      </w:r>
      <w:r w:rsidRPr="00D817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Дейнека А.В., Беспалько В.А.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У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правление человеческими ресурсами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 -М.: </w:t>
      </w:r>
      <w:r w:rsidRPr="00D817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D817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– 204  с.</w:t>
      </w:r>
    </w:p>
    <w:p w14:paraId="0E4C44D1" w14:textId="77777777" w:rsidR="00D81716" w:rsidRPr="00D81716" w:rsidRDefault="00D81716" w:rsidP="00D81716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D81716">
        <w:rPr>
          <w:rFonts w:ascii="Times New Roman" w:eastAsia="Calibri" w:hAnsi="Times New Roman" w:cs="Times New Roman"/>
          <w:bCs/>
          <w:color w:val="000000" w:themeColor="text1"/>
          <w:kern w:val="2"/>
          <w:sz w:val="20"/>
          <w:szCs w:val="20"/>
          <w:lang w:val="kk-KZ" w:eastAsia="ru-RU"/>
          <w14:ligatures w14:val="standardContextual"/>
        </w:rPr>
        <w:t>12. Жатқанбаев Е.Б., Смағулова Г.С. Экономиканы мемлекеттік реттеу- Алматы: Қазақ университеті, 2023 – 200 б.</w:t>
      </w:r>
    </w:p>
    <w:p w14:paraId="1EF8B090" w14:textId="77777777" w:rsidR="00D81716" w:rsidRPr="00D81716" w:rsidRDefault="00D81716" w:rsidP="00D81716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13. Искаков Б.М., Бекбусинова Г.К. Адам ресурстарын басқару – Алматы:</w:t>
      </w:r>
      <w:r w:rsidRPr="00D81716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 xml:space="preserve"> ADAL </w:t>
      </w:r>
      <w:r w:rsidRPr="00D81716">
        <w:rPr>
          <w:rFonts w:ascii="Times New Roman" w:hAnsi="Times New Roman" w:cs="Times New Roman"/>
          <w:color w:val="5F6368"/>
          <w:sz w:val="20"/>
          <w:szCs w:val="20"/>
          <w:shd w:val="clear" w:color="auto" w:fill="FFFFFF"/>
          <w:lang w:val="kk-KZ"/>
        </w:rPr>
        <w:t>KITAP</w:t>
      </w:r>
      <w:r w:rsidRPr="00D81716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>, 2022. - 175 б.</w:t>
      </w:r>
    </w:p>
    <w:p w14:paraId="459A455A" w14:textId="77777777" w:rsidR="00D81716" w:rsidRPr="00D81716" w:rsidRDefault="00D81716" w:rsidP="00D81716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14. Карташова Л.В.  </w:t>
      </w:r>
      <w:bookmarkStart w:id="2" w:name="_Hlk176794630"/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У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правление человеческими ресурсами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 </w:t>
      </w:r>
      <w:bookmarkEnd w:id="2"/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ИНФРА, 2023. -235 с.</w:t>
      </w:r>
    </w:p>
    <w:p w14:paraId="4A635AA5" w14:textId="77777777" w:rsidR="00D81716" w:rsidRPr="00D81716" w:rsidRDefault="00D81716" w:rsidP="00D8171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15. Лапшова О.А. 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Управление человеческими ресурсами : учебник и практикум для вузов 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– М.:  Юрайт, 2024.- 406 с.</w:t>
      </w:r>
    </w:p>
    <w:p w14:paraId="60995AAF" w14:textId="77777777" w:rsidR="00D81716" w:rsidRPr="00D81716" w:rsidRDefault="00D81716" w:rsidP="00D8171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D817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16. </w:t>
      </w:r>
      <w:r w:rsidRPr="00D817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Одегов Ю.Г., Лукашевич В.В.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Управление человеческими ресурсами 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 </w:t>
      </w:r>
      <w:bookmarkStart w:id="3" w:name="_Hlk176795319"/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М.:  КноРус, 2024.- 224 с</w:t>
      </w:r>
      <w:bookmarkEnd w:id="3"/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.</w:t>
      </w:r>
    </w:p>
    <w:p w14:paraId="7638D73E" w14:textId="77777777" w:rsidR="00D81716" w:rsidRPr="00D81716" w:rsidRDefault="00D81716" w:rsidP="00D81716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D81716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Пугачев В.П., Опарина Н.Н.</w:t>
      </w:r>
      <w:r w:rsidRPr="00D81716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</w:rPr>
        <w:t xml:space="preserve"> </w:t>
      </w:r>
      <w:r w:rsidRPr="00D81716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Стратегическое управление человеческими ресурсами организации. (Магистратура). Учебное пособие</w:t>
      </w:r>
      <w:r w:rsidRPr="00D81716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-</w:t>
      </w:r>
      <w:r w:rsidRPr="00D81716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М.:  КноРус, 2022.- 208 с</w:t>
      </w:r>
    </w:p>
    <w:p w14:paraId="7DA66666" w14:textId="77777777" w:rsidR="00D81716" w:rsidRPr="00D81716" w:rsidRDefault="00D81716" w:rsidP="00D81716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</w:pPr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18. </w:t>
      </w:r>
      <w:proofErr w:type="spellStart"/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Санталова</w:t>
      </w:r>
      <w:proofErr w:type="spellEnd"/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М.С., Борщева А.В.</w:t>
      </w:r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 </w:t>
      </w:r>
      <w:r w:rsidRPr="00D81716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</w:rPr>
        <w:t>Управление человеческими ресурсами: реалии и перспективы развития:</w:t>
      </w:r>
      <w:r w:rsidRPr="00D81716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М.: </w:t>
      </w:r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ИТК Дашков и К</w:t>
      </w:r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>, 2023. -388 с.</w:t>
      </w:r>
    </w:p>
    <w:p w14:paraId="73B34113" w14:textId="77777777" w:rsidR="00D81716" w:rsidRPr="00D81716" w:rsidRDefault="00D81716" w:rsidP="00D8171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1</w:t>
      </w:r>
      <w:r w:rsidRPr="00D81716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9. </w:t>
      </w:r>
      <w:r w:rsidRPr="00D8171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Суслова И.П., Говорова А.В., Серпухова М.А. и др. </w:t>
      </w:r>
      <w:r w:rsidRPr="00D817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Сборник кейсов и практических заданий по управленческим дисциплинам для направления «Менеджмент». Выпуск 1</w:t>
      </w:r>
      <w:r w:rsidRPr="00D8171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Pr="00D817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М.: Экономический факультет МГУ имени М. В. Ломоносова, 2024. </w:t>
      </w:r>
      <w:r w:rsidRPr="00D8171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Pr="00D817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80 с.</w:t>
      </w:r>
    </w:p>
    <w:p w14:paraId="3ED47701" w14:textId="77777777" w:rsidR="00D81716" w:rsidRPr="00D81716" w:rsidRDefault="00D81716" w:rsidP="00D8171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Шапиро С.А. - М.:  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Управление человеческими ресурсами </w:t>
      </w:r>
      <w:r w:rsidRPr="00D81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-М.: КноРус, 2023.- 348 с.</w:t>
      </w:r>
    </w:p>
    <w:p w14:paraId="01442CB1" w14:textId="77E63A00" w:rsidR="00B87700" w:rsidRDefault="00B87700" w:rsidP="00D81716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2F733A20" w14:textId="77777777" w:rsidR="00B87700" w:rsidRPr="0075749D" w:rsidRDefault="00B87700" w:rsidP="00B87700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72899D76" w14:textId="77777777" w:rsidR="00B87700" w:rsidRPr="00C85C78" w:rsidRDefault="00B87700" w:rsidP="00B877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46ABA48" w14:textId="77777777" w:rsidR="00B87700" w:rsidRPr="00C85C78" w:rsidRDefault="00B87700" w:rsidP="00B877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D792882" w14:textId="77777777" w:rsidR="00B87700" w:rsidRPr="00C85C78" w:rsidRDefault="00B87700" w:rsidP="00B877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C13E097" w14:textId="77777777" w:rsidR="00B87700" w:rsidRPr="00C85C78" w:rsidRDefault="00B87700" w:rsidP="00B877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19BC0C5" w14:textId="77777777" w:rsidR="00B87700" w:rsidRPr="00C85C78" w:rsidRDefault="00B87700" w:rsidP="00B877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F3F1D16" w14:textId="77777777" w:rsidR="00B87700" w:rsidRPr="00C85C78" w:rsidRDefault="00B87700" w:rsidP="00B877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34B8E77" w14:textId="77777777" w:rsidR="00B87700" w:rsidRPr="00C85C78" w:rsidRDefault="00B87700" w:rsidP="00B8770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4A52AEC" w14:textId="77777777" w:rsidR="00B87700" w:rsidRPr="00C85C78" w:rsidRDefault="00B87700" w:rsidP="00B877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4F6C6259" w14:textId="77777777" w:rsidR="00B87700" w:rsidRDefault="00B87700" w:rsidP="00B87700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0C05CD2A" w14:textId="77777777" w:rsidR="00B87700" w:rsidRPr="003D60D8" w:rsidRDefault="00B87700" w:rsidP="00B87700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559C6A78" w14:textId="77777777" w:rsidR="00B87700" w:rsidRPr="003D60D8" w:rsidRDefault="00000000" w:rsidP="00B8770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5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6CAD6FDB" w14:textId="77777777" w:rsidR="00501190" w:rsidRPr="003D60D8" w:rsidRDefault="00B87700" w:rsidP="00B8770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54A924D6" w14:textId="77777777" w:rsidR="00B87700" w:rsidRPr="00C85C78" w:rsidRDefault="00B87700" w:rsidP="00B877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7F6FE61" w14:textId="77777777" w:rsidR="00B87700" w:rsidRPr="00C85C78" w:rsidRDefault="00B87700" w:rsidP="00B877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989CADE" w14:textId="77777777" w:rsidR="00B87700" w:rsidRPr="00C85C78" w:rsidRDefault="00B87700" w:rsidP="00B877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4FDDE8D7" w14:textId="14BC5E03" w:rsidR="00B87700" w:rsidRDefault="00B87700" w:rsidP="00B87700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p w14:paraId="4ECCD13D" w14:textId="77777777" w:rsidR="00B87700" w:rsidRPr="00B87700" w:rsidRDefault="00B87700">
      <w:pPr>
        <w:rPr>
          <w:lang w:val="kk-KZ"/>
        </w:rPr>
      </w:pPr>
    </w:p>
    <w:sectPr w:rsidR="00B87700" w:rsidRPr="00B8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161A"/>
    <w:multiLevelType w:val="hybridMultilevel"/>
    <w:tmpl w:val="BE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2"/>
  </w:num>
  <w:num w:numId="2" w16cid:durableId="1343240075">
    <w:abstractNumId w:val="1"/>
  </w:num>
  <w:num w:numId="3" w16cid:durableId="96576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1B"/>
    <w:rsid w:val="000965B3"/>
    <w:rsid w:val="001632AF"/>
    <w:rsid w:val="00310446"/>
    <w:rsid w:val="003E6D87"/>
    <w:rsid w:val="00501190"/>
    <w:rsid w:val="00680DDE"/>
    <w:rsid w:val="006C631B"/>
    <w:rsid w:val="00B87700"/>
    <w:rsid w:val="00CC205F"/>
    <w:rsid w:val="00D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FC16"/>
  <w15:chartTrackingRefBased/>
  <w15:docId w15:val="{E3B6F672-E755-4289-912D-2CD73077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1992" TargetMode="External"/><Relationship Id="rId5" Type="http://schemas.openxmlformats.org/officeDocument/2006/relationships/hyperlink" Target="https://urait.ru/bcode/536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2024-09-09T11:48:00Z</dcterms:created>
  <dcterms:modified xsi:type="dcterms:W3CDTF">2024-09-10T01:36:00Z</dcterms:modified>
</cp:coreProperties>
</file>